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 xml:space="preserve">ООО «МЕГА ПЛЮС» </w:t>
      </w:r>
      <w:r w:rsidR="00386280">
        <w:t>за февраль</w:t>
      </w:r>
      <w:r w:rsidR="00C8010F">
        <w:t xml:space="preserve"> 2026г.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386280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386280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386280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386280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386280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386280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6280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280" w:rsidRPr="00182551" w:rsidRDefault="00386280" w:rsidP="00386280">
            <w:pPr>
              <w:pStyle w:val="a3"/>
            </w:pPr>
            <w:bookmarkStart w:id="0" w:name="_GoBack" w:colFirst="2" w:colLast="13"/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280" w:rsidRPr="00182551" w:rsidRDefault="00386280" w:rsidP="00386280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86280" w:rsidRDefault="00386280" w:rsidP="0038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bookmarkEnd w:id="0"/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86280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8010F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386E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149</cp:revision>
  <cp:lastPrinted>2022-08-08T11:26:00Z</cp:lastPrinted>
  <dcterms:created xsi:type="dcterms:W3CDTF">2019-02-27T06:36:00Z</dcterms:created>
  <dcterms:modified xsi:type="dcterms:W3CDTF">2026-03-10T13:46:00Z</dcterms:modified>
</cp:coreProperties>
</file>